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C0B" w:rsidRDefault="004A1C0B" w:rsidP="004A1C0B">
      <w:pPr>
        <w:spacing w:after="0" w:line="240" w:lineRule="auto"/>
        <w:jc w:val="center"/>
        <w:rPr>
          <w:rFonts w:ascii="Times New Roman" w:hAnsi="Times New Roman" w:cs="Times New Roman"/>
          <w:b/>
          <w:sz w:val="24"/>
          <w:szCs w:val="24"/>
          <w:lang w:val="es-ES"/>
        </w:rPr>
      </w:pPr>
      <w:r>
        <w:rPr>
          <w:rFonts w:ascii="Times New Roman" w:hAnsi="Times New Roman" w:cs="Times New Roman"/>
          <w:b/>
          <w:sz w:val="28"/>
          <w:szCs w:val="28"/>
          <w:lang w:val="es-ES"/>
        </w:rPr>
        <w:t>HOJA DE DATOS DE SEGURIDAD</w:t>
      </w:r>
    </w:p>
    <w:p w:rsidR="004A1C0B" w:rsidRDefault="004A1C0B" w:rsidP="004A1C0B">
      <w:pPr>
        <w:spacing w:after="0" w:line="240" w:lineRule="auto"/>
        <w:jc w:val="center"/>
        <w:rPr>
          <w:rFonts w:ascii="Times New Roman" w:hAnsi="Times New Roman" w:cs="Times New Roman"/>
          <w:b/>
          <w:sz w:val="24"/>
          <w:szCs w:val="24"/>
          <w:lang w:val="es-ES"/>
        </w:rPr>
      </w:pPr>
    </w:p>
    <w:p w:rsidR="004A1C0B" w:rsidRDefault="004A1C0B" w:rsidP="004A1C0B">
      <w:pPr>
        <w:spacing w:after="0" w:line="240" w:lineRule="auto"/>
        <w:jc w:val="center"/>
        <w:rPr>
          <w:rFonts w:ascii="Times New Roman" w:hAnsi="Times New Roman" w:cs="Times New Roman"/>
          <w:b/>
          <w:sz w:val="24"/>
          <w:szCs w:val="24"/>
          <w:lang w:val="es-ES"/>
        </w:rPr>
      </w:pPr>
    </w:p>
    <w:p w:rsidR="004A1C0B" w:rsidRPr="004A1C0B" w:rsidRDefault="005F03DB" w:rsidP="004A1C0B">
      <w:pPr>
        <w:spacing w:after="0" w:line="240" w:lineRule="auto"/>
        <w:jc w:val="center"/>
        <w:rPr>
          <w:rFonts w:ascii="Times New Roman" w:hAnsi="Times New Roman" w:cs="Times New Roman"/>
          <w:b/>
          <w:sz w:val="24"/>
          <w:szCs w:val="24"/>
          <w:lang w:val="es-ES"/>
        </w:rPr>
      </w:pPr>
      <w:r w:rsidRPr="005F03DB">
        <w:rPr>
          <w:noProof/>
        </w:rPr>
        <w:pict>
          <v:shapetype id="_x0000_t32" coordsize="21600,21600" o:spt="32" o:oned="t" path="m,l21600,21600e" filled="f">
            <v:path arrowok="t" fillok="f" o:connecttype="none"/>
            <o:lock v:ext="edit" shapetype="t"/>
          </v:shapetype>
          <v:shape id="_x0000_s1026" type="#_x0000_t32" style="position:absolute;left:0;text-align:left;margin-left:17.6pt;margin-top:4.95pt;width:402.55pt;height:0;z-index:251658240" o:connectortype="straight"/>
        </w:pict>
      </w:r>
    </w:p>
    <w:p w:rsidR="004A1C0B" w:rsidRPr="004A1C0B" w:rsidRDefault="004A1C0B" w:rsidP="004A1C0B">
      <w:pPr>
        <w:pStyle w:val="Prrafodelista"/>
        <w:numPr>
          <w:ilvl w:val="0"/>
          <w:numId w:val="1"/>
        </w:numPr>
        <w:spacing w:after="0" w:line="240" w:lineRule="auto"/>
        <w:rPr>
          <w:rFonts w:ascii="Times New Roman" w:hAnsi="Times New Roman" w:cs="Times New Roman"/>
          <w:b/>
          <w:sz w:val="28"/>
          <w:szCs w:val="28"/>
          <w:lang w:val="es-ES"/>
        </w:rPr>
      </w:pPr>
      <w:r w:rsidRPr="004A1C0B">
        <w:rPr>
          <w:rFonts w:ascii="Times New Roman" w:hAnsi="Times New Roman" w:cs="Times New Roman"/>
          <w:b/>
          <w:sz w:val="24"/>
          <w:szCs w:val="24"/>
          <w:lang w:val="es-ES"/>
        </w:rPr>
        <w:t xml:space="preserve">Nombre del Producto e Identificación de la Compañia </w:t>
      </w:r>
    </w:p>
    <w:p w:rsidR="004A1C0B" w:rsidRDefault="004A1C0B" w:rsidP="004A1C0B">
      <w:pPr>
        <w:pStyle w:val="Prrafodelista"/>
        <w:spacing w:after="0" w:line="240" w:lineRule="auto"/>
        <w:rPr>
          <w:rFonts w:ascii="Times New Roman" w:hAnsi="Times New Roman" w:cs="Times New Roman"/>
          <w:b/>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Nombre del Producto: </w:t>
      </w:r>
      <w:r w:rsidR="00561FAC">
        <w:rPr>
          <w:rFonts w:ascii="Times New Roman" w:hAnsi="Times New Roman" w:cs="Times New Roman"/>
          <w:sz w:val="24"/>
          <w:szCs w:val="24"/>
          <w:lang w:val="es-ES"/>
        </w:rPr>
        <w:t>Tacre</w:t>
      </w:r>
      <w:r w:rsidRPr="004A1C0B">
        <w:rPr>
          <w:rFonts w:ascii="Times New Roman" w:hAnsi="Times New Roman" w:cs="Times New Roman"/>
          <w:sz w:val="24"/>
          <w:szCs w:val="24"/>
          <w:vertAlign w:val="superscript"/>
          <w:lang w:val="es-ES"/>
        </w:rPr>
        <w:t>®</w:t>
      </w:r>
      <w:r>
        <w:rPr>
          <w:rFonts w:ascii="Times New Roman" w:hAnsi="Times New Roman" w:cs="Times New Roman"/>
          <w:sz w:val="24"/>
          <w:szCs w:val="24"/>
          <w:vertAlign w:val="superscript"/>
          <w:lang w:val="es-ES"/>
        </w:rPr>
        <w:t xml:space="preserve"> </w:t>
      </w:r>
      <w:r>
        <w:rPr>
          <w:rFonts w:ascii="Times New Roman" w:hAnsi="Times New Roman" w:cs="Times New Roman"/>
          <w:sz w:val="24"/>
          <w:szCs w:val="24"/>
          <w:lang w:val="es-ES"/>
        </w:rPr>
        <w:t>Zinc</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Descripción del producto: </w:t>
      </w:r>
      <w:r w:rsidR="00561FAC">
        <w:rPr>
          <w:rFonts w:ascii="Times New Roman" w:hAnsi="Times New Roman" w:cs="Times New Roman"/>
          <w:sz w:val="24"/>
          <w:szCs w:val="24"/>
          <w:lang w:val="es-ES"/>
        </w:rPr>
        <w:t>Suplemento liquido de Zinc complementado con elementos menores de suma importancia para el desarrollo normal de la planta</w:t>
      </w:r>
      <w:r>
        <w:rPr>
          <w:rFonts w:ascii="Times New Roman" w:hAnsi="Times New Roman" w:cs="Times New Roman"/>
          <w:sz w:val="24"/>
          <w:szCs w:val="24"/>
          <w:lang w:val="es-ES"/>
        </w:rPr>
        <w:t>.</w:t>
      </w:r>
    </w:p>
    <w:p w:rsidR="004A1C0B" w:rsidRDefault="004A1C0B" w:rsidP="004A1C0B">
      <w:pPr>
        <w:pStyle w:val="Prrafodelista"/>
        <w:spacing w:after="0" w:line="240" w:lineRule="auto"/>
        <w:rPr>
          <w:rFonts w:ascii="Times New Roman" w:hAnsi="Times New Roman" w:cs="Times New Roman"/>
          <w:sz w:val="24"/>
          <w:szCs w:val="24"/>
          <w:lang w:val="es-ES"/>
        </w:rPr>
      </w:pP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Fabricante:</w:t>
      </w:r>
    </w:p>
    <w:p w:rsidR="004A1C0B" w:rsidRDefault="00561FAC"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Bellrod Corp.</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Bo. La Ronda, Casa 1014</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Tegucigalpa Honduras</w:t>
      </w:r>
    </w:p>
    <w:p w:rsidR="004A1C0B" w:rsidRDefault="004A1C0B" w:rsidP="004A1C0B">
      <w:pPr>
        <w:pStyle w:val="Prrafodelista"/>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t>(504) 237-6775</w:t>
      </w:r>
    </w:p>
    <w:p w:rsidR="004A1C0B" w:rsidRDefault="005F03DB" w:rsidP="004A1C0B">
      <w:pPr>
        <w:spacing w:after="0" w:line="240" w:lineRule="auto"/>
        <w:rPr>
          <w:rFonts w:ascii="Times New Roman" w:hAnsi="Times New Roman" w:cs="Times New Roman"/>
          <w:sz w:val="24"/>
          <w:szCs w:val="24"/>
          <w:lang w:val="es-ES"/>
        </w:rPr>
      </w:pPr>
      <w:r w:rsidRPr="005F03DB">
        <w:rPr>
          <w:noProof/>
        </w:rPr>
        <w:pict>
          <v:shape id="_x0000_s1027" type="#_x0000_t32" style="position:absolute;margin-left:22.55pt;margin-top:1.8pt;width:402.55pt;height:0;z-index:251659264" o:connectortype="straight"/>
        </w:pict>
      </w:r>
    </w:p>
    <w:p w:rsidR="004A1C0B" w:rsidRDefault="004A1C0B" w:rsidP="004A1C0B">
      <w:pPr>
        <w:pStyle w:val="Prrafodelista"/>
        <w:numPr>
          <w:ilvl w:val="0"/>
          <w:numId w:val="1"/>
        </w:numPr>
        <w:spacing w:after="0" w:line="240" w:lineRule="auto"/>
        <w:rPr>
          <w:rFonts w:ascii="Times New Roman" w:hAnsi="Times New Roman" w:cs="Times New Roman"/>
          <w:b/>
          <w:sz w:val="24"/>
          <w:szCs w:val="24"/>
          <w:lang w:val="es-ES"/>
        </w:rPr>
      </w:pPr>
      <w:r w:rsidRPr="004A1C0B">
        <w:rPr>
          <w:rFonts w:ascii="Times New Roman" w:hAnsi="Times New Roman" w:cs="Times New Roman"/>
          <w:b/>
          <w:sz w:val="24"/>
          <w:szCs w:val="24"/>
          <w:lang w:val="es-ES"/>
        </w:rPr>
        <w:t>Composición/Información de los ingredientes</w:t>
      </w:r>
    </w:p>
    <w:p w:rsidR="004A1C0B" w:rsidRDefault="004A1C0B" w:rsidP="004A1C0B">
      <w:pPr>
        <w:spacing w:after="0" w:line="240" w:lineRule="auto"/>
        <w:rPr>
          <w:rFonts w:ascii="Times New Roman" w:hAnsi="Times New Roman" w:cs="Times New Roman"/>
          <w:b/>
          <w:sz w:val="24"/>
          <w:szCs w:val="24"/>
          <w:lang w:val="es-ES"/>
        </w:rPr>
      </w:pPr>
    </w:p>
    <w:p w:rsidR="004A1C0B" w:rsidRDefault="004A1C0B" w:rsidP="004A1C0B">
      <w:pPr>
        <w:spacing w:after="0" w:line="240" w:lineRule="auto"/>
        <w:ind w:left="720"/>
        <w:rPr>
          <w:rFonts w:ascii="Times New Roman" w:hAnsi="Times New Roman" w:cs="Times New Roman"/>
          <w:sz w:val="24"/>
          <w:szCs w:val="24"/>
          <w:u w:val="single"/>
          <w:lang w:val="es-ES"/>
        </w:rPr>
      </w:pPr>
      <w:r w:rsidRPr="004A1C0B">
        <w:rPr>
          <w:rFonts w:ascii="Times New Roman" w:hAnsi="Times New Roman" w:cs="Times New Roman"/>
          <w:sz w:val="24"/>
          <w:szCs w:val="24"/>
          <w:u w:val="single"/>
          <w:lang w:val="es-ES"/>
        </w:rPr>
        <w:t>Ingrediente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sidRPr="004A1C0B">
        <w:rPr>
          <w:rFonts w:ascii="Times New Roman" w:hAnsi="Times New Roman" w:cs="Times New Roman"/>
          <w:sz w:val="24"/>
          <w:szCs w:val="24"/>
          <w:u w:val="single"/>
          <w:lang w:val="es-ES"/>
        </w:rPr>
        <w:t>Approx. % p/v</w:t>
      </w:r>
    </w:p>
    <w:p w:rsidR="004A1C0B" w:rsidRDefault="004A1C0B"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Zinc (Zn)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10%</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Potasio (K</w:t>
      </w:r>
      <w:r w:rsidRPr="00561FAC">
        <w:rPr>
          <w:rFonts w:ascii="Times New Roman" w:hAnsi="Times New Roman" w:cs="Times New Roman"/>
          <w:sz w:val="24"/>
          <w:szCs w:val="24"/>
          <w:vertAlign w:val="subscript"/>
          <w:lang w:val="es-ES"/>
        </w:rPr>
        <w:t>2</w:t>
      </w:r>
      <w:r>
        <w:rPr>
          <w:rFonts w:ascii="Times New Roman" w:hAnsi="Times New Roman" w:cs="Times New Roman"/>
          <w:sz w:val="24"/>
          <w:szCs w:val="24"/>
          <w:lang w:val="es-ES"/>
        </w:rPr>
        <w:t>O)</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2.0%</w:t>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Azufre (S)</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0.14</w:t>
      </w:r>
      <w:r w:rsidR="004A1C0B">
        <w:rPr>
          <w:rFonts w:ascii="Times New Roman" w:hAnsi="Times New Roman" w:cs="Times New Roman"/>
          <w:sz w:val="24"/>
          <w:szCs w:val="24"/>
          <w:lang w:val="es-ES"/>
        </w:rPr>
        <w:t>%</w:t>
      </w:r>
    </w:p>
    <w:p w:rsidR="00561FAC" w:rsidRDefault="00561FAC" w:rsidP="00561FAC">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Cobre (Cu)</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0.14%</w:t>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Hierro (Fe)</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0.07</w:t>
      </w:r>
      <w:r w:rsidR="004A1C0B">
        <w:rPr>
          <w:rFonts w:ascii="Times New Roman" w:hAnsi="Times New Roman" w:cs="Times New Roman"/>
          <w:sz w:val="24"/>
          <w:szCs w:val="24"/>
          <w:lang w:val="es-ES"/>
        </w:rPr>
        <w:t>%</w:t>
      </w:r>
      <w:r w:rsidR="004A1C0B">
        <w:rPr>
          <w:rFonts w:ascii="Times New Roman" w:hAnsi="Times New Roman" w:cs="Times New Roman"/>
          <w:sz w:val="24"/>
          <w:szCs w:val="24"/>
          <w:lang w:val="es-ES"/>
        </w:rPr>
        <w:tab/>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Manganeso (Mn)</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0.07</w:t>
      </w:r>
      <w:r w:rsidR="004A1C0B">
        <w:rPr>
          <w:rFonts w:ascii="Times New Roman" w:hAnsi="Times New Roman" w:cs="Times New Roman"/>
          <w:sz w:val="24"/>
          <w:szCs w:val="24"/>
          <w:lang w:val="es-ES"/>
        </w:rPr>
        <w:t>%</w:t>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Boro (B)</w:t>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r>
      <w:r>
        <w:rPr>
          <w:rFonts w:ascii="Times New Roman" w:hAnsi="Times New Roman" w:cs="Times New Roman"/>
          <w:sz w:val="24"/>
          <w:szCs w:val="24"/>
          <w:lang w:val="es-ES"/>
        </w:rPr>
        <w:tab/>
        <w:t>0.01</w:t>
      </w:r>
      <w:r w:rsidR="004A1C0B">
        <w:rPr>
          <w:rFonts w:ascii="Times New Roman" w:hAnsi="Times New Roman" w:cs="Times New Roman"/>
          <w:sz w:val="24"/>
          <w:szCs w:val="24"/>
          <w:lang w:val="es-ES"/>
        </w:rPr>
        <w:t>%</w:t>
      </w:r>
    </w:p>
    <w:p w:rsidR="004A1C0B" w:rsidRDefault="00561FAC" w:rsidP="004A1C0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TOGO (Acidos Carboxilicos)</w:t>
      </w:r>
      <w:r>
        <w:rPr>
          <w:rFonts w:ascii="Times New Roman" w:hAnsi="Times New Roman" w:cs="Times New Roman"/>
          <w:sz w:val="24"/>
          <w:szCs w:val="24"/>
          <w:lang w:val="es-ES"/>
        </w:rPr>
        <w:tab/>
      </w:r>
      <w:r>
        <w:rPr>
          <w:rFonts w:ascii="Times New Roman" w:hAnsi="Times New Roman" w:cs="Times New Roman"/>
          <w:sz w:val="24"/>
          <w:szCs w:val="24"/>
          <w:lang w:val="es-ES"/>
        </w:rPr>
        <w:tab/>
        <w:t>2</w:t>
      </w:r>
      <w:r w:rsidR="004A1C0B">
        <w:rPr>
          <w:rFonts w:ascii="Times New Roman" w:hAnsi="Times New Roman" w:cs="Times New Roman"/>
          <w:sz w:val="24"/>
          <w:szCs w:val="24"/>
          <w:lang w:val="es-ES"/>
        </w:rPr>
        <w:t>%</w:t>
      </w:r>
    </w:p>
    <w:p w:rsidR="004A1C0B" w:rsidRDefault="005F03DB" w:rsidP="004A1C0B">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0" type="#_x0000_t32" style="position:absolute;left:0;text-align:left;margin-left:26.95pt;margin-top:.7pt;width:402.55pt;height:0;z-index:251660288" o:connectortype="straight"/>
        </w:pict>
      </w:r>
    </w:p>
    <w:p w:rsidR="00743629" w:rsidRDefault="00743629" w:rsidP="00743629">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Identificación de Peligros</w:t>
      </w:r>
    </w:p>
    <w:p w:rsidR="00743629" w:rsidRDefault="00743629" w:rsidP="00743629">
      <w:pPr>
        <w:spacing w:after="0" w:line="240" w:lineRule="auto"/>
        <w:rPr>
          <w:rFonts w:ascii="Times New Roman" w:hAnsi="Times New Roman" w:cs="Times New Roman"/>
          <w:b/>
          <w:sz w:val="24"/>
          <w:szCs w:val="24"/>
          <w:lang w:val="es-ES"/>
        </w:rPr>
      </w:pPr>
    </w:p>
    <w:p w:rsidR="00743629" w:rsidRDefault="00743629" w:rsidP="00743629">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Apariencia Fisica: Liquido Negro</w:t>
      </w:r>
    </w:p>
    <w:p w:rsidR="00743629" w:rsidRDefault="00743629" w:rsidP="00743629">
      <w:pPr>
        <w:spacing w:after="0" w:line="240" w:lineRule="auto"/>
        <w:ind w:left="720"/>
        <w:rPr>
          <w:rFonts w:ascii="Times New Roman" w:hAnsi="Times New Roman" w:cs="Times New Roman"/>
          <w:sz w:val="24"/>
          <w:szCs w:val="24"/>
          <w:lang w:val="es-ES"/>
        </w:rPr>
      </w:pPr>
    </w:p>
    <w:p w:rsidR="00743629" w:rsidRDefault="00743629" w:rsidP="00743629">
      <w:pPr>
        <w:spacing w:after="0" w:line="240" w:lineRule="auto"/>
        <w:ind w:left="720"/>
        <w:jc w:val="both"/>
        <w:rPr>
          <w:rFonts w:ascii="Times New Roman" w:hAnsi="Times New Roman" w:cs="Times New Roman"/>
          <w:sz w:val="24"/>
          <w:szCs w:val="24"/>
          <w:lang w:val="es-ES"/>
        </w:rPr>
      </w:pPr>
      <w:r>
        <w:rPr>
          <w:rFonts w:ascii="Times New Roman" w:hAnsi="Times New Roman" w:cs="Times New Roman"/>
          <w:sz w:val="24"/>
          <w:szCs w:val="24"/>
          <w:lang w:val="es-ES"/>
        </w:rPr>
        <w:t>Preocupaciones Inmediatas: No hay peligros especificos conocidos que deban ser asociados con este producto, sin embargo, deben ser tomadas ciertas precauciones para evitar un contacto innecesario con los ojos, piel y boca.</w:t>
      </w:r>
    </w:p>
    <w:p w:rsidR="00743629" w:rsidRDefault="005F03DB" w:rsidP="00743629">
      <w:pPr>
        <w:spacing w:after="0" w:line="240" w:lineRule="auto"/>
        <w:ind w:left="720"/>
        <w:jc w:val="both"/>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1" type="#_x0000_t32" style="position:absolute;left:0;text-align:left;margin-left:28.3pt;margin-top:4pt;width:402.55pt;height:0;z-index:251661312" o:connectortype="straight"/>
        </w:pict>
      </w:r>
    </w:p>
    <w:p w:rsidR="00C02684" w:rsidRDefault="00C02684" w:rsidP="00C02684">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de primeros auxilios</w:t>
      </w:r>
    </w:p>
    <w:p w:rsidR="00C02684" w:rsidRDefault="00C02684" w:rsidP="00C02684">
      <w:pPr>
        <w:spacing w:after="0" w:line="240" w:lineRule="auto"/>
        <w:rPr>
          <w:rFonts w:ascii="Times New Roman" w:hAnsi="Times New Roman" w:cs="Times New Roman"/>
          <w:b/>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Use anteojos cuando aplique. Evite el contacto con los ojos. Lave los ojos inmediantamente con suficiente agua.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Piel: Lavar el area afectada con agua, remueva la ropa contamina y lavarla antes de ser reutilizada, en casos severos obtener asistencia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Inhalación: Remueva a la persona afectada del area de exposición a un lugar fresco y ventilado, en casos severos obtener atención medica.</w:t>
      </w:r>
    </w:p>
    <w:p w:rsidR="00C02684" w:rsidRDefault="00C02684" w:rsidP="00C02684">
      <w:pPr>
        <w:spacing w:after="0" w:line="240" w:lineRule="auto"/>
        <w:ind w:left="720"/>
        <w:rPr>
          <w:rFonts w:ascii="Times New Roman" w:hAnsi="Times New Roman" w:cs="Times New Roman"/>
          <w:sz w:val="24"/>
          <w:szCs w:val="24"/>
          <w:lang w:val="es-ES"/>
        </w:rPr>
      </w:pPr>
    </w:p>
    <w:p w:rsidR="00C02684" w:rsidRDefault="00C02684" w:rsidP="00C02684">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Ingestión: No induzca el vomito, consulte al medico inmediatamente. </w:t>
      </w:r>
    </w:p>
    <w:p w:rsidR="009E00B2" w:rsidRDefault="005F03DB" w:rsidP="00C02684">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2" type="#_x0000_t32" style="position:absolute;left:0;text-align:left;margin-left:23.4pt;margin-top:2.6pt;width:402.55pt;height:0;z-index:251662336" o:connectortype="straight"/>
        </w:pict>
      </w:r>
    </w:p>
    <w:p w:rsidR="009E00B2" w:rsidRDefault="009E00B2" w:rsidP="009E00B2">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Medidas para el control de incendios</w:t>
      </w:r>
    </w:p>
    <w:p w:rsidR="009E00B2" w:rsidRDefault="009E00B2" w:rsidP="009E00B2">
      <w:pPr>
        <w:spacing w:after="0" w:line="240" w:lineRule="auto"/>
        <w:ind w:left="720"/>
        <w:rPr>
          <w:rFonts w:ascii="Times New Roman" w:hAnsi="Times New Roman" w:cs="Times New Roman"/>
          <w:b/>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Peligros generales: No hay peligros especificos.</w:t>
      </w:r>
    </w:p>
    <w:p w:rsidR="009E00B2" w:rsidRDefault="009E00B2" w:rsidP="009E00B2">
      <w:pPr>
        <w:spacing w:after="0" w:line="240" w:lineRule="auto"/>
        <w:ind w:left="720"/>
        <w:rPr>
          <w:rFonts w:ascii="Times New Roman" w:hAnsi="Times New Roman" w:cs="Times New Roman"/>
          <w:sz w:val="24"/>
          <w:szCs w:val="24"/>
          <w:lang w:val="es-ES"/>
        </w:rPr>
      </w:pPr>
    </w:p>
    <w:p w:rsidR="009E00B2" w:rsidRDefault="009E00B2" w:rsidP="009E00B2">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 xml:space="preserve">Metodos de extinsión: Spray con agua, espuma, quimicos secos o dioxido de carbono. </w:t>
      </w:r>
    </w:p>
    <w:p w:rsidR="000C25FB" w:rsidRDefault="005F03DB" w:rsidP="009E00B2">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3" type="#_x0000_t32" style="position:absolute;left:0;text-align:left;margin-left:29.25pt;margin-top:6.35pt;width:402.55pt;height:0;z-index:251663360"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Procedimiento para el manejo de fugas y derrames</w:t>
      </w:r>
    </w:p>
    <w:p w:rsidR="000C25FB" w:rsidRDefault="000C25FB" w:rsidP="000C25FB">
      <w:pPr>
        <w:spacing w:after="0" w:line="240" w:lineRule="auto"/>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pequeños: Utilice equipo de protección apropiado. Limpie los derrames y lave el area afectada.</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Derrames grandes: Limpie el material y coloquelo en un contenedor cerrado, no deje el producto en contenedores abiertos.</w:t>
      </w:r>
    </w:p>
    <w:p w:rsidR="000C25FB" w:rsidRDefault="005F03DB" w:rsidP="000C25FB">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4" type="#_x0000_t32" style="position:absolute;left:0;text-align:left;margin-left:32.9pt;margin-top:4.7pt;width:402.55pt;height:0;z-index:251664384"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Manejo y almacenamiento</w:t>
      </w:r>
    </w:p>
    <w:p w:rsidR="000C25FB" w:rsidRDefault="000C25FB" w:rsidP="000C25FB">
      <w:pPr>
        <w:spacing w:after="0" w:line="240" w:lineRule="auto"/>
        <w:ind w:left="720"/>
        <w:rPr>
          <w:rFonts w:ascii="Times New Roman" w:hAnsi="Times New Roman" w:cs="Times New Roman"/>
          <w:b/>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Manejo: Utilice equipo de protección y lave las areas de contacto despues del manejo.</w:t>
      </w:r>
    </w:p>
    <w:p w:rsidR="000C25FB" w:rsidRDefault="000C25FB" w:rsidP="000C25FB">
      <w:pPr>
        <w:spacing w:after="0" w:line="240" w:lineRule="auto"/>
        <w:ind w:left="720"/>
        <w:rPr>
          <w:rFonts w:ascii="Times New Roman" w:hAnsi="Times New Roman" w:cs="Times New Roman"/>
          <w:sz w:val="24"/>
          <w:szCs w:val="24"/>
          <w:lang w:val="es-ES"/>
        </w:rPr>
      </w:pPr>
    </w:p>
    <w:p w:rsidR="000C25FB" w:rsidRDefault="000C25FB" w:rsidP="000C25FB">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Almacenamiento: Almacene en un lugar fresco, seco en su envase original, no deje el producto en contenedores abiertos.</w:t>
      </w:r>
    </w:p>
    <w:p w:rsidR="000C25FB" w:rsidRDefault="005F03DB" w:rsidP="000C25FB">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5" type="#_x0000_t32" style="position:absolute;left:0;text-align:left;margin-left:32.9pt;margin-top:2.3pt;width:402.55pt;height:0;z-index:251665408" o:connectortype="straight"/>
        </w:pict>
      </w:r>
    </w:p>
    <w:p w:rsidR="000C25FB" w:rsidRDefault="000C25FB" w:rsidP="000C25FB">
      <w:pPr>
        <w:pStyle w:val="Prrafodelista"/>
        <w:numPr>
          <w:ilvl w:val="0"/>
          <w:numId w:val="1"/>
        </w:numPr>
        <w:spacing w:after="0" w:line="240" w:lineRule="auto"/>
        <w:rPr>
          <w:rFonts w:ascii="Times New Roman" w:hAnsi="Times New Roman" w:cs="Times New Roman"/>
          <w:b/>
          <w:sz w:val="24"/>
          <w:szCs w:val="24"/>
          <w:lang w:val="es-ES"/>
        </w:rPr>
      </w:pPr>
      <w:r>
        <w:rPr>
          <w:rFonts w:ascii="Times New Roman" w:hAnsi="Times New Roman" w:cs="Times New Roman"/>
          <w:b/>
          <w:sz w:val="24"/>
          <w:szCs w:val="24"/>
          <w:lang w:val="es-ES"/>
        </w:rPr>
        <w:t>Controles de Exposición/ Equipos de proteccion personal</w:t>
      </w:r>
    </w:p>
    <w:p w:rsidR="00CD404F" w:rsidRDefault="00CD404F" w:rsidP="00CD404F">
      <w:pPr>
        <w:spacing w:after="0" w:line="240" w:lineRule="auto"/>
        <w:rPr>
          <w:rFonts w:ascii="Times New Roman" w:hAnsi="Times New Roman" w:cs="Times New Roman"/>
          <w:b/>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Ojos y Cara: Utilice ropa de proteccion apropiada y gafas.</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Respiratoria: Respirador de polvos finos R95 o equivalente.</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Ropa de Protección: Utilice ropa de protección adecuada.</w:t>
      </w:r>
    </w:p>
    <w:p w:rsidR="00CD404F" w:rsidRDefault="00CD404F" w:rsidP="00CD404F">
      <w:pPr>
        <w:spacing w:after="0" w:line="240" w:lineRule="auto"/>
        <w:ind w:left="720"/>
        <w:rPr>
          <w:rFonts w:ascii="Times New Roman" w:hAnsi="Times New Roman" w:cs="Times New Roman"/>
          <w:sz w:val="24"/>
          <w:szCs w:val="24"/>
          <w:lang w:val="es-ES"/>
        </w:rPr>
      </w:pPr>
    </w:p>
    <w:p w:rsidR="00CD404F" w:rsidRDefault="00CD404F" w:rsidP="00CD404F">
      <w:pPr>
        <w:spacing w:after="0" w:line="240" w:lineRule="auto"/>
        <w:ind w:left="720"/>
        <w:rPr>
          <w:rFonts w:ascii="Times New Roman" w:hAnsi="Times New Roman" w:cs="Times New Roman"/>
          <w:sz w:val="24"/>
          <w:szCs w:val="24"/>
          <w:lang w:val="es-ES"/>
        </w:rPr>
      </w:pPr>
      <w:r>
        <w:rPr>
          <w:rFonts w:ascii="Times New Roman" w:hAnsi="Times New Roman" w:cs="Times New Roman"/>
          <w:sz w:val="24"/>
          <w:szCs w:val="24"/>
          <w:lang w:val="es-ES"/>
        </w:rPr>
        <w:t>Practicas de higiene laboral: Buenos niveles de ventilizacion deberian ser suficientes para el control de contagio por aire.</w:t>
      </w:r>
    </w:p>
    <w:p w:rsidR="00BE4B4E" w:rsidRDefault="005F03DB" w:rsidP="00CD404F">
      <w:pPr>
        <w:spacing w:after="0" w:line="240" w:lineRule="auto"/>
        <w:ind w:left="720"/>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6" type="#_x0000_t32" style="position:absolute;left:0;text-align:left;margin-left:32.9pt;margin-top:1.4pt;width:402.55pt;height:0;z-index:251666432" o:connectortype="straight"/>
        </w:pict>
      </w:r>
    </w:p>
    <w:p w:rsidR="00BE4B4E" w:rsidRPr="00BE4B4E" w:rsidRDefault="00BE4B4E" w:rsidP="00BE4B4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Propiedades Fisicas y Quimicas</w:t>
      </w:r>
    </w:p>
    <w:p w:rsidR="00BE4B4E" w:rsidRDefault="00BE4B4E" w:rsidP="00BE4B4E">
      <w:pPr>
        <w:pStyle w:val="Prrafodelista"/>
        <w:tabs>
          <w:tab w:val="left" w:pos="6986"/>
        </w:tabs>
        <w:spacing w:after="0" w:line="240" w:lineRule="auto"/>
        <w:rPr>
          <w:rFonts w:ascii="Times New Roman" w:hAnsi="Times New Roman" w:cs="Times New Roman"/>
          <w:b/>
          <w:sz w:val="24"/>
          <w:szCs w:val="24"/>
          <w:lang w:val="es-ES"/>
        </w:rPr>
      </w:pP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Estado fisico: Liquido.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Olor: No ofensivo.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Apariencia: Liquido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Color: Negro.</w:t>
      </w:r>
    </w:p>
    <w:p w:rsidR="00BE4B4E" w:rsidRDefault="00BE4B4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pH: </w:t>
      </w:r>
      <w:r w:rsidR="0032436E">
        <w:rPr>
          <w:rFonts w:ascii="Times New Roman" w:hAnsi="Times New Roman" w:cs="Times New Roman"/>
          <w:sz w:val="24"/>
          <w:szCs w:val="24"/>
          <w:lang w:val="es-ES"/>
        </w:rPr>
        <w:t>1.5 a 2.5.</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lastRenderedPageBreak/>
        <w:t>Punto de Ebullición: 115 ºC.</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Punto de Congelamiento: No disponible.</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Densidad: 1.26 g/ml.</w:t>
      </w:r>
    </w:p>
    <w:p w:rsidR="0032436E" w:rsidRDefault="0032436E" w:rsidP="00BE4B4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Solubilidad: Soluble en agua.</w:t>
      </w:r>
    </w:p>
    <w:p w:rsidR="0032436E" w:rsidRDefault="005F03DB" w:rsidP="00BE4B4E">
      <w:pPr>
        <w:pStyle w:val="Prrafodelista"/>
        <w:tabs>
          <w:tab w:val="left" w:pos="6986"/>
        </w:tabs>
        <w:spacing w:after="0" w:line="240" w:lineRule="auto"/>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7" type="#_x0000_t32" style="position:absolute;left:0;text-align:left;margin-left:29.35pt;margin-top:.55pt;width:402.55pt;height:0;z-index:251667456" o:connectortype="straight"/>
        </w:pict>
      </w:r>
    </w:p>
    <w:p w:rsidR="0032436E" w:rsidRPr="0032436E" w:rsidRDefault="0032436E" w:rsidP="0032436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Estabilidad y reactividad</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Estable: Si.</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Polimerización peligrosa: No.</w:t>
      </w: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Productos de descomposición peligrosas: oxidos de metal y dioxido de carbono son productos de descomposición.</w:t>
      </w:r>
    </w:p>
    <w:p w:rsidR="00EA2EE7" w:rsidRDefault="005F03DB" w:rsidP="0032436E">
      <w:pPr>
        <w:pStyle w:val="Prrafodelista"/>
        <w:tabs>
          <w:tab w:val="left" w:pos="6986"/>
        </w:tabs>
        <w:spacing w:after="0" w:line="240" w:lineRule="auto"/>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8" type="#_x0000_t32" style="position:absolute;left:0;text-align:left;margin-left:32pt;margin-top:.45pt;width:402.55pt;height:0;z-index:251668480" o:connectortype="straight"/>
        </w:pict>
      </w:r>
    </w:p>
    <w:p w:rsidR="00EA2EE7" w:rsidRPr="00EA2EE7" w:rsidRDefault="00EA2EE7" w:rsidP="00EA2EE7">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Información toxicologica</w:t>
      </w: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p>
    <w:p w:rsidR="00EA2EE7" w:rsidRDefault="00EA2EE7"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 xml:space="preserve">Organos afectados: </w:t>
      </w:r>
      <w:r w:rsidR="00534C4E">
        <w:rPr>
          <w:rFonts w:ascii="Times New Roman" w:hAnsi="Times New Roman" w:cs="Times New Roman"/>
          <w:sz w:val="24"/>
          <w:szCs w:val="24"/>
          <w:lang w:val="es-ES"/>
        </w:rPr>
        <w:t>No son conocidos  organos afectados.</w:t>
      </w: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p>
    <w:p w:rsidR="00534C4E" w:rsidRDefault="00534C4E" w:rsidP="00EA2EE7">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Carcinogenicidad:</w:t>
      </w:r>
    </w:p>
    <w:p w:rsidR="00534C4E"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IARC: Ninguno de los materiales utilizados en este productos contienen quimicos en la lista de IARC.</w:t>
      </w:r>
    </w:p>
    <w:p w:rsidR="00D30D78" w:rsidRDefault="00D30D78" w:rsidP="00D30D78">
      <w:pPr>
        <w:pStyle w:val="Prrafodelista"/>
        <w:tabs>
          <w:tab w:val="left" w:pos="6986"/>
        </w:tabs>
        <w:spacing w:after="0" w:line="240" w:lineRule="auto"/>
        <w:ind w:left="1440"/>
        <w:rPr>
          <w:rFonts w:ascii="Times New Roman" w:hAnsi="Times New Roman" w:cs="Times New Roman"/>
          <w:sz w:val="24"/>
          <w:szCs w:val="24"/>
          <w:lang w:val="es-ES"/>
        </w:rPr>
      </w:pPr>
      <w:r>
        <w:rPr>
          <w:rFonts w:ascii="Times New Roman" w:hAnsi="Times New Roman" w:cs="Times New Roman"/>
          <w:sz w:val="24"/>
          <w:szCs w:val="24"/>
          <w:lang w:val="es-ES"/>
        </w:rPr>
        <w:t xml:space="preserve">NTP: Ninguno de los materiales utilizados en este productos contienen quimicos en la lista de </w:t>
      </w:r>
      <w:r w:rsidR="009D333E">
        <w:rPr>
          <w:rFonts w:ascii="Times New Roman" w:hAnsi="Times New Roman" w:cs="Times New Roman"/>
          <w:sz w:val="24"/>
          <w:szCs w:val="24"/>
          <w:lang w:val="es-ES"/>
        </w:rPr>
        <w:t>NTP.</w:t>
      </w:r>
    </w:p>
    <w:p w:rsidR="009D333E" w:rsidRDefault="005F03DB" w:rsidP="009D333E">
      <w:pPr>
        <w:tabs>
          <w:tab w:val="left" w:pos="6986"/>
        </w:tabs>
        <w:spacing w:after="0" w:line="240" w:lineRule="auto"/>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39" type="#_x0000_t32" style="position:absolute;margin-left:36.4pt;margin-top:1.2pt;width:402.55pt;height:0;z-index:251669504" o:connectortype="straight"/>
        </w:pict>
      </w:r>
    </w:p>
    <w:p w:rsidR="009D333E" w:rsidRPr="009D333E" w:rsidRDefault="009D333E" w:rsidP="009D333E">
      <w:pPr>
        <w:pStyle w:val="Prrafodelista"/>
        <w:numPr>
          <w:ilvl w:val="0"/>
          <w:numId w:val="1"/>
        </w:num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b/>
          <w:sz w:val="24"/>
          <w:szCs w:val="24"/>
          <w:lang w:val="es-ES"/>
        </w:rPr>
        <w:t xml:space="preserve">Información ecologica </w:t>
      </w:r>
    </w:p>
    <w:p w:rsidR="009D333E" w:rsidRDefault="009D333E" w:rsidP="009D333E">
      <w:pPr>
        <w:pStyle w:val="Prrafodelista"/>
        <w:tabs>
          <w:tab w:val="left" w:pos="6986"/>
        </w:tabs>
        <w:spacing w:after="0" w:line="240" w:lineRule="auto"/>
        <w:rPr>
          <w:rFonts w:ascii="Times New Roman" w:hAnsi="Times New Roman" w:cs="Times New Roman"/>
          <w:b/>
          <w:sz w:val="24"/>
          <w:szCs w:val="24"/>
          <w:lang w:val="es-ES"/>
        </w:rPr>
      </w:pPr>
    </w:p>
    <w:p w:rsidR="009D333E" w:rsidRDefault="009D333E" w:rsidP="009D333E">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Comentarios Generales: Datos cuantitativos de los efectos ecologicos de este producto no estan disponibles. Se bebe tomar cuidados para la entrada de cualquier producto quimico en fuentes de agua. Ningun riesgo ambiental se prevé, siempre que el material se manipule y elimine con el debido cuidado y atención.  </w:t>
      </w:r>
    </w:p>
    <w:p w:rsidR="00DD2DEB" w:rsidRDefault="005F03DB" w:rsidP="009D333E">
      <w:pPr>
        <w:pStyle w:val="Prrafodelista"/>
        <w:tabs>
          <w:tab w:val="left" w:pos="6986"/>
        </w:tabs>
        <w:spacing w:after="0" w:line="240" w:lineRule="auto"/>
        <w:jc w:val="both"/>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40" type="#_x0000_t32" style="position:absolute;left:0;text-align:left;margin-left:29.35pt;margin-top:.6pt;width:402.55pt;height:0;z-index:251670528" o:connectortype="straight"/>
        </w:pict>
      </w:r>
    </w:p>
    <w:p w:rsidR="00DD2DEB" w:rsidRPr="00DD2DEB" w:rsidRDefault="00DD2DEB" w:rsidP="00DD2DEB">
      <w:pPr>
        <w:pStyle w:val="Prrafodelista"/>
        <w:numPr>
          <w:ilvl w:val="0"/>
          <w:numId w:val="1"/>
        </w:numPr>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b/>
          <w:sz w:val="24"/>
          <w:szCs w:val="24"/>
          <w:lang w:val="es-ES"/>
        </w:rPr>
        <w:t>Consideraciones en el manejo de desechos</w:t>
      </w:r>
    </w:p>
    <w:p w:rsidR="00DD2DEB" w:rsidRDefault="00DD2DEB" w:rsidP="00DD2DEB">
      <w:pPr>
        <w:pStyle w:val="Prrafodelista"/>
        <w:tabs>
          <w:tab w:val="left" w:pos="6986"/>
        </w:tabs>
        <w:spacing w:after="0" w:line="240" w:lineRule="auto"/>
        <w:jc w:val="both"/>
        <w:rPr>
          <w:rFonts w:ascii="Times New Roman" w:hAnsi="Times New Roman" w:cs="Times New Roman"/>
          <w:b/>
          <w:sz w:val="24"/>
          <w:szCs w:val="24"/>
          <w:lang w:val="es-ES"/>
        </w:rPr>
      </w:pPr>
    </w:p>
    <w:p w:rsidR="00DD2DEB" w:rsidRDefault="00DD2DEB" w:rsidP="00DD2DEB">
      <w:pPr>
        <w:pStyle w:val="Prrafodelista"/>
        <w:tabs>
          <w:tab w:val="left" w:pos="6986"/>
        </w:tabs>
        <w:spacing w:after="0" w:line="240" w:lineRule="auto"/>
        <w:jc w:val="both"/>
        <w:rPr>
          <w:rFonts w:ascii="Times New Roman" w:hAnsi="Times New Roman" w:cs="Times New Roman"/>
          <w:sz w:val="24"/>
          <w:szCs w:val="24"/>
          <w:lang w:val="es-ES"/>
        </w:rPr>
      </w:pPr>
      <w:r>
        <w:rPr>
          <w:rFonts w:ascii="Times New Roman" w:hAnsi="Times New Roman" w:cs="Times New Roman"/>
          <w:sz w:val="24"/>
          <w:szCs w:val="24"/>
          <w:lang w:val="es-ES"/>
        </w:rPr>
        <w:t xml:space="preserve">Metodo en el manejo de desechos: Los residuos quimicos son clasifiacos como </w:t>
      </w:r>
      <w:r w:rsidR="003744BA">
        <w:rPr>
          <w:rFonts w:ascii="Times New Roman" w:hAnsi="Times New Roman" w:cs="Times New Roman"/>
          <w:sz w:val="24"/>
          <w:szCs w:val="24"/>
          <w:lang w:val="es-ES"/>
        </w:rPr>
        <w:t>desechos especiales y como cuales son includios en regulaciones que pueden variar deacuerdo a la ubicación, contacte a su autoridad local de manejo de desechos para asesoria o una compañía privada de manejo de desechos.</w:t>
      </w:r>
    </w:p>
    <w:p w:rsidR="0006046B" w:rsidRPr="00DD2DEB" w:rsidRDefault="005F03DB" w:rsidP="00DD2DEB">
      <w:pPr>
        <w:pStyle w:val="Prrafodelista"/>
        <w:tabs>
          <w:tab w:val="left" w:pos="6986"/>
        </w:tabs>
        <w:spacing w:after="0" w:line="240" w:lineRule="auto"/>
        <w:jc w:val="both"/>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41" type="#_x0000_t32" style="position:absolute;left:0;text-align:left;margin-left:32pt;margin-top:0;width:402.55pt;height:0;z-index:251671552" o:connectortype="straight"/>
        </w:pict>
      </w: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sidRPr="0006046B">
        <w:rPr>
          <w:rFonts w:ascii="Times New Roman" w:hAnsi="Times New Roman" w:cs="Times New Roman"/>
          <w:b/>
          <w:sz w:val="24"/>
          <w:szCs w:val="24"/>
          <w:lang w:val="es-ES"/>
        </w:rPr>
        <w:t>Informacion sobre el transporte</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Notas especiales para el transporte: Este producto no es regulado dentro de regulaciones nacionales o internacionales  de transporte.</w:t>
      </w:r>
    </w:p>
    <w:p w:rsidR="0006046B" w:rsidRDefault="005F03DB" w:rsidP="0006046B">
      <w:pPr>
        <w:pStyle w:val="Prrafodelista"/>
        <w:tabs>
          <w:tab w:val="left" w:pos="6986"/>
        </w:tabs>
        <w:spacing w:after="0" w:line="240" w:lineRule="auto"/>
        <w:rPr>
          <w:rFonts w:ascii="Times New Roman" w:hAnsi="Times New Roman" w:cs="Times New Roman"/>
          <w:sz w:val="24"/>
          <w:szCs w:val="24"/>
          <w:lang w:val="es-ES"/>
        </w:rPr>
      </w:pPr>
      <w:r w:rsidRPr="005F03DB">
        <w:rPr>
          <w:rFonts w:ascii="Times New Roman" w:hAnsi="Times New Roman" w:cs="Times New Roman"/>
          <w:b/>
          <w:noProof/>
          <w:sz w:val="24"/>
          <w:szCs w:val="24"/>
        </w:rPr>
        <w:pict>
          <v:shape id="_x0000_s1043" type="#_x0000_t32" style="position:absolute;left:0;text-align:left;margin-left:32pt;margin-top:3.25pt;width:402.55pt;height:0;z-index:251673600" o:connectortype="straight"/>
        </w:pict>
      </w: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3D7DC9" w:rsidRDefault="003D7DC9" w:rsidP="0006046B">
      <w:pPr>
        <w:pStyle w:val="Prrafodelista"/>
        <w:tabs>
          <w:tab w:val="left" w:pos="6986"/>
        </w:tabs>
        <w:spacing w:after="0" w:line="240" w:lineRule="auto"/>
        <w:rPr>
          <w:rFonts w:ascii="Times New Roman" w:hAnsi="Times New Roman" w:cs="Times New Roman"/>
          <w:sz w:val="24"/>
          <w:szCs w:val="24"/>
          <w:lang w:val="es-ES"/>
        </w:rPr>
      </w:pPr>
    </w:p>
    <w:p w:rsidR="003D7DC9" w:rsidRDefault="003D7DC9" w:rsidP="0006046B">
      <w:pPr>
        <w:pStyle w:val="Prrafodelista"/>
        <w:tabs>
          <w:tab w:val="left" w:pos="6986"/>
        </w:tabs>
        <w:spacing w:after="0" w:line="240" w:lineRule="auto"/>
        <w:rPr>
          <w:rFonts w:ascii="Times New Roman" w:hAnsi="Times New Roman" w:cs="Times New Roman"/>
          <w:sz w:val="24"/>
          <w:szCs w:val="24"/>
          <w:lang w:val="es-ES"/>
        </w:rPr>
      </w:pPr>
    </w:p>
    <w:p w:rsidR="0006046B" w:rsidRDefault="0006046B" w:rsidP="0006046B">
      <w:pPr>
        <w:pStyle w:val="Prrafodelista"/>
        <w:numPr>
          <w:ilvl w:val="0"/>
          <w:numId w:val="1"/>
        </w:numPr>
        <w:tabs>
          <w:tab w:val="left" w:pos="6986"/>
        </w:tabs>
        <w:spacing w:after="0" w:line="240" w:lineRule="auto"/>
        <w:rPr>
          <w:rFonts w:ascii="Times New Roman" w:hAnsi="Times New Roman" w:cs="Times New Roman"/>
          <w:b/>
          <w:sz w:val="24"/>
          <w:szCs w:val="24"/>
          <w:lang w:val="es-ES"/>
        </w:rPr>
      </w:pPr>
      <w:r>
        <w:rPr>
          <w:rFonts w:ascii="Times New Roman" w:hAnsi="Times New Roman" w:cs="Times New Roman"/>
          <w:sz w:val="24"/>
          <w:szCs w:val="24"/>
          <w:lang w:val="es-ES"/>
        </w:rPr>
        <w:t xml:space="preserve"> </w:t>
      </w:r>
      <w:r w:rsidRPr="0006046B">
        <w:rPr>
          <w:rFonts w:ascii="Times New Roman" w:hAnsi="Times New Roman" w:cs="Times New Roman"/>
          <w:b/>
          <w:sz w:val="24"/>
          <w:szCs w:val="24"/>
          <w:lang w:val="es-ES"/>
        </w:rPr>
        <w:t>Informacion regulatoria</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Default="0006046B" w:rsidP="0006046B">
      <w:pPr>
        <w:pStyle w:val="Prrafodelista"/>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Comentarios generales: este producto no es regulado por alguna agencia conocida para el manejo de peligros.</w:t>
      </w:r>
    </w:p>
    <w:p w:rsidR="0006046B" w:rsidRDefault="005F03DB" w:rsidP="0006046B">
      <w:pPr>
        <w:tabs>
          <w:tab w:val="left" w:pos="6986"/>
        </w:tabs>
        <w:spacing w:after="0" w:line="240" w:lineRule="auto"/>
        <w:rPr>
          <w:rFonts w:ascii="Times New Roman" w:hAnsi="Times New Roman" w:cs="Times New Roman"/>
          <w:sz w:val="24"/>
          <w:szCs w:val="24"/>
          <w:lang w:val="es-ES"/>
        </w:rPr>
      </w:pPr>
      <w:r w:rsidRPr="005F03DB">
        <w:rPr>
          <w:rFonts w:ascii="Times New Roman" w:hAnsi="Times New Roman" w:cs="Times New Roman"/>
          <w:noProof/>
          <w:sz w:val="24"/>
          <w:szCs w:val="24"/>
        </w:rPr>
        <w:pict>
          <v:shape id="_x0000_s1042" type="#_x0000_t32" style="position:absolute;margin-left:32.9pt;margin-top:2.9pt;width:402.55pt;height:0;z-index:251672576" o:connectortype="straight"/>
        </w:pict>
      </w: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B27132" w:rsidRPr="00B27132" w:rsidRDefault="00B27132" w:rsidP="00B27132">
      <w:pPr>
        <w:jc w:val="both"/>
        <w:rPr>
          <w:rFonts w:ascii="Arial" w:hAnsi="Arial" w:cs="Arial"/>
          <w:sz w:val="14"/>
          <w:szCs w:val="14"/>
          <w:lang w:val="es-ES"/>
        </w:rPr>
      </w:pPr>
      <w:r w:rsidRPr="00B27132">
        <w:rPr>
          <w:rFonts w:ascii="Arial" w:hAnsi="Arial" w:cs="Arial"/>
          <w:sz w:val="14"/>
          <w:szCs w:val="14"/>
          <w:lang w:val="es-ES"/>
        </w:rPr>
        <w:t xml:space="preserve">La información anterior se considera exacta y representa la mejor información actualmente disponible para nosotros. Sin embargo, no se ofrece ninguna garantía de comercialización o cualquier otra garantía, expresa o implícita, con respecto a dicha información, y no asumimos ninguna responsabilidad derivada de su uso. Los usuarios deberán realizar sus propias investigaciones para determinar la idoneidad de la información para sus propósitos particulares. En ningún caso </w:t>
      </w:r>
      <w:r w:rsidR="00561FAC">
        <w:rPr>
          <w:rFonts w:ascii="Arial" w:hAnsi="Arial" w:cs="Arial"/>
          <w:b/>
          <w:sz w:val="14"/>
          <w:szCs w:val="14"/>
          <w:lang w:val="es-ES"/>
        </w:rPr>
        <w:t>Bellrod Corp.</w:t>
      </w:r>
      <w:r w:rsidRPr="00B27132">
        <w:rPr>
          <w:rFonts w:ascii="Arial" w:hAnsi="Arial" w:cs="Arial"/>
          <w:sz w:val="14"/>
          <w:szCs w:val="14"/>
          <w:lang w:val="es-ES"/>
        </w:rPr>
        <w:t xml:space="preserve"> será responsable de las reclamaciones, pérdidas, daños o perjuicios de cualquier tercero, o por lucro cesante, o cualquier daño especial, indirecto, accidental, consecuente o ejemplar, independientemente de cual sea su procedencia, aunque </w:t>
      </w:r>
      <w:r w:rsidR="00561FAC">
        <w:rPr>
          <w:rFonts w:ascii="Arial" w:hAnsi="Arial" w:cs="Arial"/>
          <w:b/>
          <w:sz w:val="14"/>
          <w:szCs w:val="14"/>
          <w:lang w:val="es-ES"/>
        </w:rPr>
        <w:t>Bellrod Corp</w:t>
      </w:r>
      <w:r w:rsidR="006A7807">
        <w:rPr>
          <w:rFonts w:ascii="Arial" w:hAnsi="Arial" w:cs="Arial"/>
          <w:b/>
          <w:sz w:val="14"/>
          <w:szCs w:val="14"/>
          <w:lang w:val="es-ES"/>
        </w:rPr>
        <w:t>.</w:t>
      </w:r>
      <w:r w:rsidRPr="00B27132">
        <w:rPr>
          <w:rFonts w:ascii="Arial" w:hAnsi="Arial" w:cs="Arial"/>
          <w:sz w:val="14"/>
          <w:szCs w:val="14"/>
          <w:lang w:val="es-ES"/>
        </w:rPr>
        <w:t xml:space="preserve"> ha sido advertido de la posibilidad de tal daño y perjuicios.</w:t>
      </w:r>
    </w:p>
    <w:p w:rsidR="0006046B" w:rsidRDefault="0006046B" w:rsidP="0006046B">
      <w:pPr>
        <w:pStyle w:val="Prrafodelista"/>
        <w:tabs>
          <w:tab w:val="left" w:pos="6986"/>
        </w:tabs>
        <w:spacing w:after="0" w:line="240" w:lineRule="auto"/>
        <w:rPr>
          <w:rFonts w:ascii="Times New Roman" w:hAnsi="Times New Roman" w:cs="Times New Roman"/>
          <w:b/>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tabs>
          <w:tab w:val="left" w:pos="6986"/>
        </w:tabs>
        <w:spacing w:after="0" w:line="240" w:lineRule="auto"/>
        <w:rPr>
          <w:rFonts w:ascii="Times New Roman" w:hAnsi="Times New Roman" w:cs="Times New Roman"/>
          <w:sz w:val="24"/>
          <w:szCs w:val="24"/>
          <w:lang w:val="es-ES"/>
        </w:rPr>
      </w:pPr>
    </w:p>
    <w:p w:rsidR="0006046B" w:rsidRPr="0006046B" w:rsidRDefault="0006046B" w:rsidP="0006046B">
      <w:pPr>
        <w:pStyle w:val="Prrafodelista"/>
        <w:tabs>
          <w:tab w:val="left" w:pos="6986"/>
        </w:tabs>
        <w:spacing w:after="0" w:line="240" w:lineRule="auto"/>
        <w:rPr>
          <w:rFonts w:ascii="Times New Roman" w:hAnsi="Times New Roman" w:cs="Times New Roman"/>
          <w:sz w:val="24"/>
          <w:szCs w:val="24"/>
          <w:lang w:val="es-ES"/>
        </w:rPr>
      </w:pP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r>
        <w:rPr>
          <w:rFonts w:ascii="Times New Roman" w:hAnsi="Times New Roman" w:cs="Times New Roman"/>
          <w:sz w:val="24"/>
          <w:szCs w:val="24"/>
          <w:lang w:val="es-ES"/>
        </w:rPr>
        <w:tab/>
      </w:r>
    </w:p>
    <w:p w:rsidR="009D333E" w:rsidRPr="009D333E" w:rsidRDefault="009D333E" w:rsidP="009D333E">
      <w:pPr>
        <w:tabs>
          <w:tab w:val="left" w:pos="6986"/>
        </w:tabs>
        <w:spacing w:after="0" w:line="240" w:lineRule="auto"/>
        <w:rPr>
          <w:rFonts w:ascii="Times New Roman" w:hAnsi="Times New Roman" w:cs="Times New Roman"/>
          <w:sz w:val="24"/>
          <w:szCs w:val="24"/>
          <w:lang w:val="es-ES"/>
        </w:rPr>
      </w:pPr>
    </w:p>
    <w:p w:rsidR="00EA2EE7" w:rsidRDefault="00EA2EE7" w:rsidP="0032436E">
      <w:pPr>
        <w:pStyle w:val="Prrafodelista"/>
        <w:tabs>
          <w:tab w:val="left" w:pos="6986"/>
        </w:tabs>
        <w:spacing w:after="0" w:line="240" w:lineRule="auto"/>
        <w:rPr>
          <w:rFonts w:ascii="Times New Roman" w:hAnsi="Times New Roman" w:cs="Times New Roman"/>
          <w:sz w:val="24"/>
          <w:szCs w:val="24"/>
          <w:lang w:val="es-ES"/>
        </w:rPr>
      </w:pPr>
    </w:p>
    <w:p w:rsidR="0032436E" w:rsidRDefault="0032436E" w:rsidP="0032436E">
      <w:pPr>
        <w:pStyle w:val="Prrafodelista"/>
        <w:tabs>
          <w:tab w:val="left" w:pos="6986"/>
        </w:tabs>
        <w:spacing w:after="0" w:line="240" w:lineRule="auto"/>
        <w:rPr>
          <w:rFonts w:ascii="Times New Roman" w:hAnsi="Times New Roman" w:cs="Times New Roman"/>
          <w:sz w:val="24"/>
          <w:szCs w:val="24"/>
          <w:lang w:val="es-ES"/>
        </w:rPr>
      </w:pPr>
    </w:p>
    <w:p w:rsidR="0032436E" w:rsidRPr="00BE4B4E" w:rsidRDefault="0032436E" w:rsidP="0032436E">
      <w:pPr>
        <w:pStyle w:val="Prrafodelista"/>
        <w:tabs>
          <w:tab w:val="left" w:pos="6986"/>
        </w:tabs>
        <w:spacing w:after="0" w:line="240" w:lineRule="auto"/>
        <w:rPr>
          <w:rFonts w:ascii="Times New Roman" w:hAnsi="Times New Roman" w:cs="Times New Roman"/>
          <w:sz w:val="24"/>
          <w:szCs w:val="24"/>
          <w:lang w:val="es-ES"/>
        </w:rPr>
      </w:pPr>
    </w:p>
    <w:sectPr w:rsidR="0032436E" w:rsidRPr="00BE4B4E" w:rsidSect="004D40B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4D8E" w:rsidRDefault="002E4D8E" w:rsidP="004A1C0B">
      <w:pPr>
        <w:spacing w:after="0" w:line="240" w:lineRule="auto"/>
      </w:pPr>
      <w:r>
        <w:separator/>
      </w:r>
    </w:p>
  </w:endnote>
  <w:endnote w:type="continuationSeparator" w:id="1">
    <w:p w:rsidR="002E4D8E" w:rsidRDefault="002E4D8E" w:rsidP="004A1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132" w:rsidRPr="00F04EC8" w:rsidRDefault="006A7807">
    <w:pPr>
      <w:pStyle w:val="Piedepgina"/>
      <w:rPr>
        <w:lang w:val="es-ES"/>
      </w:rPr>
    </w:pPr>
    <w:r>
      <w:rPr>
        <w:lang w:val="es-ES"/>
      </w:rPr>
      <w:t>© 2008 Bellrod Corp</w:t>
    </w:r>
    <w:r w:rsidR="00B27132" w:rsidRPr="00F04EC8">
      <w:rPr>
        <w:lang w:val="es-ES"/>
      </w:rPr>
      <w:t>.</w:t>
    </w:r>
  </w:p>
  <w:p w:rsidR="00B27132" w:rsidRPr="00C02684" w:rsidRDefault="00B27132">
    <w:pPr>
      <w:pStyle w:val="Piedepgina"/>
      <w:rPr>
        <w:lang w:val="es-ES"/>
      </w:rPr>
    </w:pPr>
    <w:r>
      <w:rPr>
        <w:lang w:val="es-ES"/>
      </w:rPr>
      <w:t>Todos los derechos reservados.</w:t>
    </w:r>
    <w:r w:rsidR="006A7807">
      <w:rPr>
        <w:lang w:val="es-ES"/>
      </w:rPr>
      <w:t xml:space="preserve"> Bellrod</w:t>
    </w:r>
    <w:r w:rsidRPr="00C02684">
      <w:rPr>
        <w:lang w:val="es-ES"/>
      </w:rPr>
      <w:t>,</w:t>
    </w:r>
    <w:r w:rsidR="006A7807">
      <w:rPr>
        <w:lang w:val="es-ES"/>
      </w:rPr>
      <w:t xml:space="preserve"> el logo de Bellrod, y Tacre son marcas de Bellrod Corp</w:t>
    </w:r>
    <w:r>
      <w:rPr>
        <w:lang w:val="es-ES"/>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4D8E" w:rsidRDefault="002E4D8E" w:rsidP="004A1C0B">
      <w:pPr>
        <w:spacing w:after="0" w:line="240" w:lineRule="auto"/>
      </w:pPr>
      <w:r>
        <w:separator/>
      </w:r>
    </w:p>
  </w:footnote>
  <w:footnote w:type="continuationSeparator" w:id="1">
    <w:p w:rsidR="002E4D8E" w:rsidRDefault="002E4D8E" w:rsidP="004A1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96589"/>
      <w:docPartObj>
        <w:docPartGallery w:val="Page Numbers (Top of Page)"/>
        <w:docPartUnique/>
      </w:docPartObj>
    </w:sdtPr>
    <w:sdtContent>
      <w:p w:rsidR="00B27132" w:rsidRPr="00F04EC8" w:rsidRDefault="00561FAC" w:rsidP="00F04EC8">
        <w:pPr>
          <w:pStyle w:val="Encabezado"/>
          <w:rPr>
            <w:rFonts w:ascii="Courier New" w:hAnsi="Courier New" w:cs="Courier New"/>
            <w:sz w:val="16"/>
            <w:szCs w:val="16"/>
            <w:lang w:val="es-ES"/>
          </w:rPr>
        </w:pPr>
        <w:r>
          <w:rPr>
            <w:noProof/>
            <w:lang w:val="es-NI" w:eastAsia="es-NI"/>
          </w:rPr>
          <w:drawing>
            <wp:anchor distT="0" distB="0" distL="114300" distR="114300" simplePos="0" relativeHeight="251658240" behindDoc="1" locked="0" layoutInCell="1" allowOverlap="1">
              <wp:simplePos x="0" y="0"/>
              <wp:positionH relativeFrom="column">
                <wp:posOffset>-114935</wp:posOffset>
              </wp:positionH>
              <wp:positionV relativeFrom="paragraph">
                <wp:posOffset>-137795</wp:posOffset>
              </wp:positionV>
              <wp:extent cx="575310" cy="713105"/>
              <wp:effectExtent l="19050" t="0" r="0" b="0"/>
              <wp:wrapTight wrapText="bothSides">
                <wp:wrapPolygon edited="0">
                  <wp:start x="-715" y="0"/>
                  <wp:lineTo x="-715" y="20773"/>
                  <wp:lineTo x="21457" y="20773"/>
                  <wp:lineTo x="21457" y="0"/>
                  <wp:lineTo x="-715" y="0"/>
                </wp:wrapPolygon>
              </wp:wrapTight>
              <wp:docPr id="5" name="Picture 4" descr="Copia de bellrod logo 2008 (Cus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pia de bellrod logo 2008 (Custom)"/>
                      <pic:cNvPicPr>
                        <a:picLocks noChangeAspect="1" noChangeArrowheads="1"/>
                      </pic:cNvPicPr>
                    </pic:nvPicPr>
                    <pic:blipFill>
                      <a:blip r:embed="rId1"/>
                      <a:srcRect/>
                      <a:stretch>
                        <a:fillRect/>
                      </a:stretch>
                    </pic:blipFill>
                    <pic:spPr bwMode="auto">
                      <a:xfrm>
                        <a:off x="0" y="0"/>
                        <a:ext cx="575310" cy="713105"/>
                      </a:xfrm>
                      <a:prstGeom prst="rect">
                        <a:avLst/>
                      </a:prstGeom>
                      <a:noFill/>
                      <a:ln w="9525">
                        <a:noFill/>
                        <a:miter lim="800000"/>
                        <a:headEnd/>
                        <a:tailEnd/>
                      </a:ln>
                    </pic:spPr>
                  </pic:pic>
                </a:graphicData>
              </a:graphic>
            </wp:anchor>
          </w:drawing>
        </w:r>
        <w:r w:rsidR="00F04EC8" w:rsidRPr="00F04EC8">
          <w:rPr>
            <w:lang w:val="es-ES"/>
          </w:rPr>
          <w:tab/>
          <w:t xml:space="preserve">                                                                                                  </w:t>
        </w:r>
        <w:r w:rsidR="00B27132" w:rsidRPr="00F04EC8">
          <w:rPr>
            <w:rFonts w:ascii="Courier New" w:hAnsi="Courier New" w:cs="Courier New"/>
            <w:b/>
            <w:color w:val="000000" w:themeColor="text1"/>
            <w:sz w:val="16"/>
            <w:szCs w:val="16"/>
            <w:lang w:val="es-ES"/>
          </w:rPr>
          <w:t>Pagina</w:t>
        </w:r>
        <w:r w:rsidR="00B27132" w:rsidRPr="00F04EC8">
          <w:rPr>
            <w:rFonts w:ascii="Courier New" w:hAnsi="Courier New" w:cs="Courier New"/>
            <w:sz w:val="16"/>
            <w:szCs w:val="16"/>
            <w:lang w:val="es-ES"/>
          </w:rPr>
          <w:t xml:space="preserve"> </w:t>
        </w:r>
        <w:r w:rsidR="005F03DB" w:rsidRPr="00F04EC8">
          <w:rPr>
            <w:rFonts w:ascii="Courier New" w:hAnsi="Courier New" w:cs="Courier New"/>
            <w:sz w:val="16"/>
            <w:szCs w:val="16"/>
          </w:rPr>
          <w:fldChar w:fldCharType="begin"/>
        </w:r>
        <w:r w:rsidR="00B27132" w:rsidRPr="00F04EC8">
          <w:rPr>
            <w:rFonts w:ascii="Courier New" w:hAnsi="Courier New" w:cs="Courier New"/>
            <w:sz w:val="16"/>
            <w:szCs w:val="16"/>
            <w:lang w:val="es-ES"/>
          </w:rPr>
          <w:instrText xml:space="preserve"> PAGE   \* MERGEFORMAT </w:instrText>
        </w:r>
        <w:r w:rsidR="005F03DB" w:rsidRPr="00F04EC8">
          <w:rPr>
            <w:rFonts w:ascii="Courier New" w:hAnsi="Courier New" w:cs="Courier New"/>
            <w:sz w:val="16"/>
            <w:szCs w:val="16"/>
          </w:rPr>
          <w:fldChar w:fldCharType="separate"/>
        </w:r>
        <w:r w:rsidR="00D13878">
          <w:rPr>
            <w:rFonts w:ascii="Courier New" w:hAnsi="Courier New" w:cs="Courier New"/>
            <w:noProof/>
            <w:sz w:val="16"/>
            <w:szCs w:val="16"/>
            <w:lang w:val="es-ES"/>
          </w:rPr>
          <w:t>1</w:t>
        </w:r>
        <w:r w:rsidR="005F03DB" w:rsidRPr="00F04EC8">
          <w:rPr>
            <w:rFonts w:ascii="Courier New" w:hAnsi="Courier New" w:cs="Courier New"/>
            <w:sz w:val="16"/>
            <w:szCs w:val="16"/>
          </w:rPr>
          <w:fldChar w:fldCharType="end"/>
        </w:r>
        <w:r w:rsidR="00B27132" w:rsidRPr="00F04EC8">
          <w:rPr>
            <w:rFonts w:ascii="Courier New" w:hAnsi="Courier New" w:cs="Courier New"/>
            <w:sz w:val="16"/>
            <w:szCs w:val="16"/>
            <w:lang w:val="es-ES"/>
          </w:rPr>
          <w:t xml:space="preserve"> </w:t>
        </w:r>
        <w:r w:rsidR="00B27132" w:rsidRPr="00F04EC8">
          <w:rPr>
            <w:rFonts w:ascii="Courier New" w:hAnsi="Courier New" w:cs="Courier New"/>
            <w:b/>
            <w:color w:val="000000" w:themeColor="text1"/>
            <w:sz w:val="16"/>
            <w:szCs w:val="16"/>
            <w:lang w:val="es-ES"/>
          </w:rPr>
          <w:t>de</w:t>
        </w:r>
        <w:r w:rsidR="00B27132" w:rsidRPr="00F04EC8">
          <w:rPr>
            <w:rFonts w:ascii="Courier New" w:hAnsi="Courier New" w:cs="Courier New"/>
            <w:sz w:val="16"/>
            <w:szCs w:val="16"/>
            <w:lang w:val="es-ES"/>
          </w:rPr>
          <w:t xml:space="preserve"> </w:t>
        </w:r>
        <w:r w:rsidR="007E2A29" w:rsidRPr="00F04EC8">
          <w:rPr>
            <w:rFonts w:ascii="Courier New" w:hAnsi="Courier New" w:cs="Courier New"/>
            <w:sz w:val="16"/>
            <w:szCs w:val="16"/>
            <w:lang w:val="es-ES"/>
          </w:rPr>
          <w:t>4</w:t>
        </w:r>
      </w:p>
      <w:p w:rsidR="00B27132" w:rsidRPr="00F04EC8" w:rsidRDefault="00B27132" w:rsidP="00F04EC8">
        <w:pPr>
          <w:spacing w:after="0" w:line="240" w:lineRule="auto"/>
          <w:ind w:left="6480"/>
          <w:rPr>
            <w:rFonts w:ascii="Courier New" w:hAnsi="Courier New" w:cs="Courier New"/>
            <w:b/>
            <w:color w:val="000000" w:themeColor="text1"/>
            <w:sz w:val="16"/>
            <w:szCs w:val="16"/>
            <w:lang w:val="es-ES"/>
          </w:rPr>
        </w:pPr>
        <w:r w:rsidRPr="00F04EC8">
          <w:rPr>
            <w:rFonts w:ascii="Courier New" w:hAnsi="Courier New" w:cs="Courier New"/>
            <w:b/>
            <w:color w:val="000000" w:themeColor="text1"/>
            <w:sz w:val="16"/>
            <w:szCs w:val="16"/>
            <w:lang w:val="es-ES"/>
          </w:rPr>
          <w:t>Fecha de Revisión 02/02/08</w:t>
        </w:r>
      </w:p>
      <w:p w:rsidR="00B27132" w:rsidRPr="00F04EC8" w:rsidRDefault="00F04EC8" w:rsidP="004A1C0B">
        <w:pPr>
          <w:spacing w:after="0" w:line="240" w:lineRule="auto"/>
          <w:rPr>
            <w:rFonts w:ascii="Segoe UI" w:eastAsia="Calibri" w:hAnsi="Segoe UI" w:cs="Segoe UI"/>
            <w:b/>
            <w:color w:val="68C05B"/>
            <w:sz w:val="16"/>
            <w:szCs w:val="16"/>
            <w:lang w:val="es-ES"/>
          </w:rPr>
        </w:pP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Pr>
            <w:rFonts w:ascii="Segoe UI" w:hAnsi="Segoe UI" w:cs="Segoe UI"/>
            <w:b/>
            <w:color w:val="68C05B"/>
            <w:sz w:val="16"/>
            <w:szCs w:val="16"/>
            <w:lang w:val="es-ES"/>
          </w:rPr>
          <w:tab/>
        </w:r>
        <w:r w:rsidR="00B27132" w:rsidRPr="00F04EC8">
          <w:rPr>
            <w:rFonts w:ascii="Segoe UI" w:hAnsi="Segoe UI" w:cs="Segoe UI"/>
            <w:b/>
            <w:color w:val="000000" w:themeColor="text1"/>
            <w:sz w:val="16"/>
            <w:szCs w:val="16"/>
            <w:lang w:val="es-ES"/>
          </w:rPr>
          <w:t>MSDS</w:t>
        </w:r>
        <w:r w:rsidR="00B27132" w:rsidRPr="00F04EC8">
          <w:rPr>
            <w:rFonts w:ascii="Segoe UI" w:hAnsi="Segoe UI" w:cs="Segoe UI"/>
            <w:color w:val="000000" w:themeColor="text1"/>
            <w:sz w:val="16"/>
            <w:szCs w:val="16"/>
            <w:lang w:val="es-ES"/>
          </w:rPr>
          <w:t xml:space="preserve"> </w:t>
        </w:r>
        <w:r w:rsidR="00B27132" w:rsidRPr="00F04EC8">
          <w:rPr>
            <w:rFonts w:ascii="Segoe UI" w:hAnsi="Segoe UI" w:cs="Segoe UI"/>
            <w:b/>
            <w:color w:val="000000" w:themeColor="text1"/>
            <w:sz w:val="16"/>
            <w:szCs w:val="16"/>
            <w:lang w:val="es-ES"/>
          </w:rPr>
          <w:t>Nº 0004</w:t>
        </w:r>
      </w:p>
      <w:p w:rsidR="00B27132" w:rsidRDefault="00F04EC8" w:rsidP="004A1C0B">
        <w:pPr>
          <w:spacing w:after="0" w:line="240" w:lineRule="auto"/>
          <w:rPr>
            <w:rFonts w:ascii="Segoe UI" w:hAnsi="Segoe UI" w:cs="Segoe UI"/>
            <w:color w:val="000000" w:themeColor="text1"/>
            <w:sz w:val="16"/>
            <w:szCs w:val="16"/>
            <w:lang w:val="es-ES"/>
          </w:rPr>
        </w:pP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Pr>
            <w:rFonts w:ascii="Segoe UI" w:hAnsi="Segoe UI" w:cs="Segoe UI"/>
            <w:b/>
            <w:color w:val="000000" w:themeColor="text1"/>
            <w:sz w:val="16"/>
            <w:szCs w:val="16"/>
            <w:lang w:val="es-ES"/>
          </w:rPr>
          <w:tab/>
        </w:r>
        <w:r w:rsidR="00561FAC">
          <w:rPr>
            <w:rFonts w:ascii="Segoe UI" w:hAnsi="Segoe UI" w:cs="Segoe UI"/>
            <w:color w:val="000000" w:themeColor="text1"/>
            <w:sz w:val="16"/>
            <w:szCs w:val="16"/>
            <w:lang w:val="es-ES"/>
          </w:rPr>
          <w:t>Tacre</w:t>
        </w:r>
        <w:r w:rsidR="00B27132" w:rsidRPr="00F04EC8">
          <w:rPr>
            <w:rFonts w:ascii="Segoe UI" w:hAnsi="Segoe UI" w:cs="Segoe UI"/>
            <w:color w:val="000000" w:themeColor="text1"/>
            <w:sz w:val="16"/>
            <w:szCs w:val="16"/>
            <w:vertAlign w:val="superscript"/>
            <w:lang w:val="es-ES"/>
          </w:rPr>
          <w:t>®</w:t>
        </w:r>
        <w:r w:rsidR="00B27132" w:rsidRPr="00F04EC8">
          <w:rPr>
            <w:rFonts w:ascii="Segoe UI" w:hAnsi="Segoe UI" w:cs="Segoe UI"/>
            <w:color w:val="000000" w:themeColor="text1"/>
            <w:sz w:val="16"/>
            <w:szCs w:val="16"/>
            <w:lang w:val="es-ES"/>
          </w:rPr>
          <w:t xml:space="preserve"> Zinc</w:t>
        </w:r>
      </w:p>
      <w:p w:rsidR="00F04EC8" w:rsidRPr="00F04EC8" w:rsidRDefault="00F04EC8" w:rsidP="004A1C0B">
        <w:pPr>
          <w:spacing w:after="0" w:line="240" w:lineRule="auto"/>
          <w:rPr>
            <w:rFonts w:ascii="Segoe UI" w:hAnsi="Segoe UI" w:cs="Segoe UI"/>
            <w:color w:val="000000" w:themeColor="text1"/>
            <w:sz w:val="16"/>
            <w:szCs w:val="16"/>
            <w:lang w:val="es-ES"/>
          </w:rPr>
        </w:pPr>
      </w:p>
      <w:p w:rsidR="00B27132" w:rsidRDefault="005F03DB" w:rsidP="004A1C0B">
        <w:pPr>
          <w:spacing w:after="0" w:line="240" w:lineRule="auto"/>
        </w:pP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9E7C1C"/>
    <w:multiLevelType w:val="hybridMultilevel"/>
    <w:tmpl w:val="E056E3DA"/>
    <w:lvl w:ilvl="0" w:tplc="7A62A420">
      <w:start w:val="1"/>
      <w:numFmt w:val="decimal"/>
      <w:lvlText w:val="%1."/>
      <w:lvlJc w:val="left"/>
      <w:pPr>
        <w:ind w:left="720" w:hanging="360"/>
      </w:pPr>
      <w:rPr>
        <w:rFonts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defaultTabStop w:val="720"/>
  <w:hyphenationZone w:val="425"/>
  <w:characterSpacingControl w:val="doNotCompress"/>
  <w:hdrShapeDefaults>
    <o:shapedefaults v:ext="edit" spidmax="12290"/>
  </w:hdrShapeDefaults>
  <w:footnotePr>
    <w:footnote w:id="0"/>
    <w:footnote w:id="1"/>
  </w:footnotePr>
  <w:endnotePr>
    <w:endnote w:id="0"/>
    <w:endnote w:id="1"/>
  </w:endnotePr>
  <w:compat/>
  <w:rsids>
    <w:rsidRoot w:val="004A1C0B"/>
    <w:rsid w:val="0006046B"/>
    <w:rsid w:val="000C25FB"/>
    <w:rsid w:val="0026768A"/>
    <w:rsid w:val="002E4D8E"/>
    <w:rsid w:val="0032436E"/>
    <w:rsid w:val="003744BA"/>
    <w:rsid w:val="003D7DC9"/>
    <w:rsid w:val="00470FCB"/>
    <w:rsid w:val="004A1C0B"/>
    <w:rsid w:val="004D40B4"/>
    <w:rsid w:val="004D5E9E"/>
    <w:rsid w:val="00534C4E"/>
    <w:rsid w:val="00561FAC"/>
    <w:rsid w:val="005F03DB"/>
    <w:rsid w:val="00606429"/>
    <w:rsid w:val="00685795"/>
    <w:rsid w:val="006A1F13"/>
    <w:rsid w:val="006A7807"/>
    <w:rsid w:val="007005C2"/>
    <w:rsid w:val="00743629"/>
    <w:rsid w:val="007E2A29"/>
    <w:rsid w:val="00923B47"/>
    <w:rsid w:val="009D333E"/>
    <w:rsid w:val="009E00B2"/>
    <w:rsid w:val="00B27132"/>
    <w:rsid w:val="00BE4B4E"/>
    <w:rsid w:val="00C02684"/>
    <w:rsid w:val="00C61D4F"/>
    <w:rsid w:val="00CD404F"/>
    <w:rsid w:val="00D13878"/>
    <w:rsid w:val="00D27DF4"/>
    <w:rsid w:val="00D30D78"/>
    <w:rsid w:val="00DD2DEB"/>
    <w:rsid w:val="00E052C8"/>
    <w:rsid w:val="00EA2EE7"/>
    <w:rsid w:val="00F04EC8"/>
  </w:rsids>
  <m:mathPr>
    <m:mathFont m:val="Cambria Math"/>
    <m:brkBin m:val="before"/>
    <m:brkBinSub m:val="--"/>
    <m:smallFrac m:val="off"/>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7" type="connector" idref="#_x0000_s1037"/>
        <o:r id="V:Rule18" type="connector" idref="#_x0000_s1027"/>
        <o:r id="V:Rule19" type="connector" idref="#_x0000_s1032"/>
        <o:r id="V:Rule20" type="connector" idref="#_x0000_s1039"/>
        <o:r id="V:Rule21" type="connector" idref="#_x0000_s1043"/>
        <o:r id="V:Rule22" type="connector" idref="#_x0000_s1041"/>
        <o:r id="V:Rule23" type="connector" idref="#_x0000_s1038"/>
        <o:r id="V:Rule24" type="connector" idref="#_x0000_s1042"/>
        <o:r id="V:Rule25" type="connector" idref="#_x0000_s1031"/>
        <o:r id="V:Rule26" type="connector" idref="#_x0000_s1040"/>
        <o:r id="V:Rule27" type="connector" idref="#_x0000_s1034"/>
        <o:r id="V:Rule28" type="connector" idref="#_x0000_s1035"/>
        <o:r id="V:Rule29" type="connector" idref="#_x0000_s1036"/>
        <o:r id="V:Rule30" type="connector" idref="#_x0000_s1026"/>
        <o:r id="V:Rule31" type="connector" idref="#_x0000_s1030"/>
        <o:r id="V:Rule32"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C0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4A1C0B"/>
  </w:style>
  <w:style w:type="paragraph" w:styleId="Piedepgina">
    <w:name w:val="footer"/>
    <w:basedOn w:val="Normal"/>
    <w:link w:val="PiedepginaCar"/>
    <w:uiPriority w:val="99"/>
    <w:semiHidden/>
    <w:unhideWhenUsed/>
    <w:rsid w:val="004A1C0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semiHidden/>
    <w:rsid w:val="004A1C0B"/>
  </w:style>
  <w:style w:type="paragraph" w:styleId="Prrafodelista">
    <w:name w:val="List Paragraph"/>
    <w:basedOn w:val="Normal"/>
    <w:uiPriority w:val="34"/>
    <w:qFormat/>
    <w:rsid w:val="004A1C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767</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dc:creator>
  <cp:lastModifiedBy>David Arguello</cp:lastModifiedBy>
  <cp:revision>2</cp:revision>
  <dcterms:created xsi:type="dcterms:W3CDTF">2011-11-07T19:53:00Z</dcterms:created>
  <dcterms:modified xsi:type="dcterms:W3CDTF">2011-11-07T19:53:00Z</dcterms:modified>
</cp:coreProperties>
</file>